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7DCB4">
      <w:pPr>
        <w:jc w:val="right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margin">
                  <wp:posOffset>0</wp:posOffset>
                </wp:positionV>
                <wp:extent cx="5579745" cy="142684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9745" cy="142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630B2DE">
                            <w:pPr>
                              <w:jc w:val="distribute"/>
                              <w:rPr>
                                <w:rFonts w:ascii="华文中宋" w:hAnsi="华文中宋" w:eastAsia="华文中宋"/>
                                <w:b/>
                                <w:color w:val="FF0000"/>
                                <w:w w:val="66"/>
                                <w:sz w:val="135"/>
                                <w:szCs w:val="79"/>
                              </w:rPr>
                            </w:pPr>
                            <w:r>
                              <w:rPr>
                                <w:rFonts w:hint="eastAsia" w:ascii="方正小标宋简体" w:hAnsi="华文中宋" w:eastAsia="方正小标宋简体"/>
                                <w:color w:val="FF0000"/>
                                <w:w w:val="66"/>
                                <w:sz w:val="133"/>
                                <w:szCs w:val="79"/>
                              </w:rPr>
                              <w:t>如皋市农业农村局</w:t>
                            </w:r>
                          </w:p>
                          <w:p w14:paraId="203BD225">
                            <w:pPr>
                              <w:rPr>
                                <w:szCs w:val="122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0pt;height:112.35pt;width:439.35pt;mso-position-horizontal:center;mso-position-horizontal-relative:page;mso-position-vertical-relative:margin;z-index:251660288;mso-width-relative:page;mso-height-relative:page;" filled="f" stroked="f" coordsize="21600,21600" o:gfxdata="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yyWX71gAAAAUBAAAPAAAAAAAAAAEAIAAAACIAAABkcnMvZG93bnJldi54bWxQ&#10;SwECFAAUAAAACACHTuJA4laGr8ABAACBAwAADgAAAAAAAAABACAAAAAl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630B2DE">
                      <w:pPr>
                        <w:jc w:val="distribute"/>
                        <w:rPr>
                          <w:rFonts w:ascii="华文中宋" w:hAnsi="华文中宋" w:eastAsia="华文中宋"/>
                          <w:b/>
                          <w:color w:val="FF0000"/>
                          <w:w w:val="66"/>
                          <w:sz w:val="135"/>
                          <w:szCs w:val="79"/>
                        </w:rPr>
                      </w:pPr>
                      <w:r>
                        <w:rPr>
                          <w:rFonts w:hint="eastAsia" w:ascii="方正小标宋简体" w:hAnsi="华文中宋" w:eastAsia="方正小标宋简体"/>
                          <w:color w:val="FF0000"/>
                          <w:w w:val="66"/>
                          <w:sz w:val="133"/>
                          <w:szCs w:val="79"/>
                        </w:rPr>
                        <w:t>如皋市农业农村局</w:t>
                      </w:r>
                    </w:p>
                    <w:p w14:paraId="203BD225">
                      <w:pPr>
                        <w:rPr>
                          <w:szCs w:val="1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C76D5D">
      <w:pPr>
        <w:spacing w:beforeLines="300" w:line="560" w:lineRule="exact"/>
      </w:pPr>
    </w:p>
    <w:p w14:paraId="3636A666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961390</wp:posOffset>
                </wp:positionH>
                <wp:positionV relativeFrom="margin">
                  <wp:posOffset>1440815</wp:posOffset>
                </wp:positionV>
                <wp:extent cx="5579745" cy="0"/>
                <wp:effectExtent l="0" t="13970" r="1905" b="2413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75.7pt;margin-top:113.45pt;height:0pt;width:439.35pt;mso-position-horizontal-relative:page;mso-position-vertical-relative:margin;z-index:251661312;mso-width-relative:page;mso-height-relative:page;" filled="f" stroked="t" coordsize="21600,21600" o:gfxdata="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R8AEnYAAAADAEAAA8AAAAAAAAAAQAgAAAAIgAAAGRycy9kb3ducmV2LnhtbFBLAQIUABQA&#10;AAAIAIdO4kDwP30M8AEAAOoDAAAOAAAAAAAAAAEAIAAAACcBAABkcnMvZTJvRG9jLnhtbFBLBQYA&#10;AAAABgAGAFkBAACJ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49A75ACE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34DEC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关于公布2025年度重大行政决策事项目录的通知</w:t>
      </w:r>
    </w:p>
    <w:bookmarkEnd w:id="0"/>
    <w:p w14:paraId="2A774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 w14:paraId="33755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局属各单位，机关各科室：</w:t>
      </w:r>
    </w:p>
    <w:p w14:paraId="40039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了推进科学、民主、依法决策，提高决策质量和效率，根据《重大行政决策程序暂行条例》《江苏省重大行政决策程序实施办法》等规定，现将《如皋市2026年度高标准农田建设项目》《如皋市水域滩涂规划（2025-2030）》2个事项纳入《如皋市农业农村局2025年度重大行政决策事项目录》，并予以公示，请有关单位（科室）认真组织实施，现就有关工作通知如下：</w:t>
      </w:r>
    </w:p>
    <w:p w14:paraId="774F0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列入目录的各重大行政决策事项必须严格落实公众参与、专家论证、风险评估、合法性审查、集体讨论决定等法定程序，确保程序正当、过程公开、责任明确。法律法规另有决策程序规定的事项，依照其决策程序规定执行。</w:t>
      </w:r>
    </w:p>
    <w:p w14:paraId="43F98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二、各单位（科室）要重视重大行政决策的档案管理，归档工作应当与决策事项同步部署、同步实施，确保归档工作及时、完整、高效，实现决策程序全过程记录。</w:t>
      </w:r>
    </w:p>
    <w:p w14:paraId="13871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三、重大行政决策目录实行动态管理，因工作需要新增或调整重大行政决策事项，承办科室应按照规定程序办理。</w:t>
      </w:r>
    </w:p>
    <w:p w14:paraId="0658D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 w14:paraId="4C7F1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附件：如皋市农业农村局2025年度重大行政决策事项目录</w:t>
      </w:r>
    </w:p>
    <w:p w14:paraId="5EB42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 w14:paraId="43639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 w14:paraId="421E9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如皋市农业农村局</w:t>
      </w:r>
    </w:p>
    <w:p w14:paraId="03C87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2025年3月19日</w:t>
      </w:r>
    </w:p>
    <w:p w14:paraId="4923A1F2">
      <w:pPr>
        <w:spacing w:line="560" w:lineRule="exact"/>
        <w:rPr>
          <w:rFonts w:hint="eastAsia" w:ascii="Times New Roman" w:hAnsi="Times New Roman" w:eastAsia="仿宋_GB2312"/>
          <w:sz w:val="32"/>
          <w:szCs w:val="32"/>
        </w:rPr>
      </w:pPr>
    </w:p>
    <w:p w14:paraId="1EB96E4C">
      <w:pPr>
        <w:spacing w:line="560" w:lineRule="exact"/>
        <w:rPr>
          <w:rFonts w:hint="eastAsia" w:ascii="Times New Roman" w:hAnsi="Times New Roman" w:eastAsia="仿宋_GB2312"/>
          <w:sz w:val="32"/>
          <w:szCs w:val="32"/>
        </w:rPr>
      </w:pPr>
    </w:p>
    <w:p w14:paraId="4BD8F831">
      <w:pPr>
        <w:spacing w:line="56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附件：</w:t>
      </w:r>
    </w:p>
    <w:p w14:paraId="5F717742">
      <w:pPr>
        <w:spacing w:line="560" w:lineRule="exact"/>
        <w:rPr>
          <w:rFonts w:hint="eastAsia" w:ascii="国标仿宋" w:hAnsi="国标仿宋" w:eastAsia="国标仿宋" w:cs="国标仿宋"/>
          <w:sz w:val="30"/>
          <w:szCs w:val="30"/>
        </w:rPr>
      </w:pPr>
    </w:p>
    <w:p w14:paraId="07D2BBE3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如皋市农业农村局2025年度重大行政决策</w:t>
      </w:r>
    </w:p>
    <w:p w14:paraId="2691E859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事项目录</w:t>
      </w:r>
    </w:p>
    <w:p w14:paraId="161DD7DD">
      <w:pPr>
        <w:spacing w:line="560" w:lineRule="exact"/>
        <w:rPr>
          <w:rFonts w:hint="eastAsia" w:ascii="国标仿宋" w:hAnsi="国标仿宋" w:eastAsia="国标仿宋" w:cs="国标仿宋"/>
          <w:sz w:val="30"/>
          <w:szCs w:val="30"/>
        </w:rPr>
      </w:pPr>
    </w:p>
    <w:tbl>
      <w:tblPr>
        <w:tblStyle w:val="5"/>
        <w:tblW w:w="90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5182"/>
        <w:gridCol w:w="3000"/>
      </w:tblGrid>
      <w:tr w14:paraId="5BB9C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866" w:type="dxa"/>
            <w:noWrap w:val="0"/>
            <w:vAlign w:val="center"/>
          </w:tcPr>
          <w:p w14:paraId="26AD954B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序号</w:t>
            </w:r>
          </w:p>
        </w:tc>
        <w:tc>
          <w:tcPr>
            <w:tcW w:w="5182" w:type="dxa"/>
            <w:noWrap w:val="0"/>
            <w:vAlign w:val="center"/>
          </w:tcPr>
          <w:p w14:paraId="1E6C2EE5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决策事项名称</w:t>
            </w:r>
          </w:p>
        </w:tc>
        <w:tc>
          <w:tcPr>
            <w:tcW w:w="3000" w:type="dxa"/>
            <w:noWrap w:val="0"/>
            <w:vAlign w:val="center"/>
          </w:tcPr>
          <w:p w14:paraId="4A5F3803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承办科室</w:t>
            </w:r>
          </w:p>
        </w:tc>
      </w:tr>
      <w:tr w14:paraId="7C064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866" w:type="dxa"/>
            <w:noWrap w:val="0"/>
            <w:vAlign w:val="center"/>
          </w:tcPr>
          <w:p w14:paraId="5817A1D6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</w:t>
            </w:r>
          </w:p>
        </w:tc>
        <w:tc>
          <w:tcPr>
            <w:tcW w:w="5182" w:type="dxa"/>
            <w:noWrap w:val="0"/>
            <w:vAlign w:val="center"/>
          </w:tcPr>
          <w:p w14:paraId="086C30C3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如皋市2026年度高标准农田建设项目</w:t>
            </w:r>
          </w:p>
        </w:tc>
        <w:tc>
          <w:tcPr>
            <w:tcW w:w="3000" w:type="dxa"/>
            <w:noWrap w:val="0"/>
            <w:vAlign w:val="center"/>
          </w:tcPr>
          <w:p w14:paraId="073BAF87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农田建设管理科</w:t>
            </w:r>
          </w:p>
        </w:tc>
      </w:tr>
      <w:tr w14:paraId="664CD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66" w:type="dxa"/>
            <w:noWrap w:val="0"/>
            <w:vAlign w:val="center"/>
          </w:tcPr>
          <w:p w14:paraId="1B5E1DC9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</w:t>
            </w:r>
          </w:p>
        </w:tc>
        <w:tc>
          <w:tcPr>
            <w:tcW w:w="5182" w:type="dxa"/>
            <w:noWrap w:val="0"/>
            <w:vAlign w:val="center"/>
          </w:tcPr>
          <w:p w14:paraId="17E79085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如皋市水域滩涂规划（2025-2030）</w:t>
            </w:r>
          </w:p>
        </w:tc>
        <w:tc>
          <w:tcPr>
            <w:tcW w:w="3000" w:type="dxa"/>
            <w:noWrap w:val="0"/>
            <w:vAlign w:val="center"/>
          </w:tcPr>
          <w:p w14:paraId="3A26C999"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渔业渔政科       市水产技术指导站</w:t>
            </w:r>
          </w:p>
        </w:tc>
      </w:tr>
    </w:tbl>
    <w:p w14:paraId="12AC4C68">
      <w:pPr>
        <w:spacing w:line="560" w:lineRule="exact"/>
        <w:rPr>
          <w:rFonts w:hint="eastAsia" w:ascii="国标仿宋" w:hAnsi="国标仿宋" w:eastAsia="国标仿宋" w:cs="国标仿宋"/>
          <w:sz w:val="30"/>
          <w:szCs w:val="30"/>
        </w:rPr>
      </w:pPr>
    </w:p>
    <w:p w14:paraId="16772DB9">
      <w:pPr>
        <w:spacing w:line="560" w:lineRule="exact"/>
        <w:rPr>
          <w:rFonts w:hint="eastAsia" w:ascii="国标仿宋" w:hAnsi="国标仿宋" w:eastAsia="国标仿宋" w:cs="国标仿宋"/>
          <w:sz w:val="30"/>
          <w:szCs w:val="30"/>
        </w:rPr>
      </w:pPr>
      <w:r>
        <w:rPr>
          <w:rFonts w:hint="eastAsia" w:ascii="国标仿宋" w:hAnsi="国标仿宋" w:eastAsia="国标仿宋" w:cs="国标仿宋"/>
          <w:sz w:val="30"/>
          <w:szCs w:val="30"/>
        </w:rPr>
        <w:t xml:space="preserve">                  </w:t>
      </w:r>
    </w:p>
    <w:p w14:paraId="016E985C">
      <w:pPr>
        <w:spacing w:line="560" w:lineRule="exact"/>
        <w:rPr>
          <w:rFonts w:hint="eastAsia" w:ascii="国标仿宋" w:hAnsi="国标仿宋" w:eastAsia="国标仿宋" w:cs="国标仿宋"/>
          <w:sz w:val="30"/>
          <w:szCs w:val="30"/>
        </w:rPr>
      </w:pPr>
    </w:p>
    <w:p w14:paraId="1905075A">
      <w:pPr>
        <w:spacing w:line="560" w:lineRule="exact"/>
        <w:rPr>
          <w:rFonts w:hint="eastAsia" w:ascii="国标仿宋" w:hAnsi="国标仿宋" w:eastAsia="国标仿宋" w:cs="国标仿宋"/>
          <w:sz w:val="30"/>
          <w:szCs w:val="30"/>
        </w:rPr>
      </w:pPr>
      <w:r>
        <w:rPr>
          <w:rFonts w:hint="eastAsia" w:ascii="国标仿宋" w:hAnsi="国标仿宋" w:eastAsia="国标仿宋" w:cs="国标仿宋"/>
          <w:sz w:val="30"/>
          <w:szCs w:val="30"/>
        </w:rPr>
        <w:t xml:space="preserve">    </w:t>
      </w:r>
    </w:p>
    <w:p w14:paraId="0160B967">
      <w:pPr>
        <w:pStyle w:val="2"/>
        <w:ind w:left="0" w:leftChars="0" w:right="1470"/>
      </w:pPr>
      <w:r>
        <w:rPr>
          <w:rFonts w:hint="eastAsia" w:ascii="国标仿宋" w:hAnsi="国标仿宋" w:eastAsia="国标仿宋" w:cs="国标仿宋"/>
          <w:sz w:val="30"/>
          <w:szCs w:val="30"/>
        </w:rPr>
        <w:t xml:space="preserve">    </w:t>
      </w:r>
    </w:p>
    <w:sectPr>
      <w:footerReference r:id="rId3" w:type="default"/>
      <w:pgSz w:w="11906" w:h="16838"/>
      <w:pgMar w:top="1440" w:right="1701" w:bottom="1418" w:left="170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AF476C2-B405-48EC-9CDE-1B61EF1109B2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2" w:fontKey="{1A28D458-E159-4FB2-9BEB-69C1B32EEC0B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B6531A51-FFB1-4CCB-9E53-8E528936C03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仿宋">
    <w:altName w:val="Malgun Gothic Semilight"/>
    <w:panose1 w:val="02000500000000000000"/>
    <w:charset w:val="86"/>
    <w:family w:val="auto"/>
    <w:pitch w:val="default"/>
    <w:sig w:usb0="00000000" w:usb1="00000000" w:usb2="00000016" w:usb3="00000000" w:csb0="00040000" w:csb1="00000000"/>
    <w:embedRegular r:id="rId4" w:fontKey="{87C761D7-4157-4760-914A-A8D9C16A2A89}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FE65D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2499360</wp:posOffset>
              </wp:positionH>
              <wp:positionV relativeFrom="paragraph">
                <wp:posOffset>-104140</wp:posOffset>
              </wp:positionV>
              <wp:extent cx="1828800" cy="26162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61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0294C25"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196.8pt;margin-top:-8.2pt;height:20.6pt;width:144pt;mso-position-horizontal-relative:margin;mso-wrap-style:none;z-index:251659264;mso-width-relative:page;mso-height-relative:page;" filled="f" stroked="f" coordsize="21600,21600" o:gfxdata="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t2ViHYAAAACgEAAA8AAAAAAAAAAQAgAAAAIgAAAGRycy9kb3du&#10;cmV2LnhtbFBLAQIUABQAAAAIAIdO4kDbjEVKxgEAAIwDAAAOAAAAAAAAAAEAIAAAACc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0294C25"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NGFmYTkzN2I0ZGFhZTc2OWFhMjg1ZWJkZDk0NjAifQ=="/>
  </w:docVars>
  <w:rsids>
    <w:rsidRoot w:val="090651A0"/>
    <w:rsid w:val="000951F4"/>
    <w:rsid w:val="000A19FC"/>
    <w:rsid w:val="000F051C"/>
    <w:rsid w:val="001A7B8E"/>
    <w:rsid w:val="001C07EA"/>
    <w:rsid w:val="00350B58"/>
    <w:rsid w:val="003B2D5F"/>
    <w:rsid w:val="0041657C"/>
    <w:rsid w:val="004F7B75"/>
    <w:rsid w:val="00542B44"/>
    <w:rsid w:val="005D18F5"/>
    <w:rsid w:val="00684A82"/>
    <w:rsid w:val="006A16D1"/>
    <w:rsid w:val="006B14CA"/>
    <w:rsid w:val="006C41DD"/>
    <w:rsid w:val="0074060B"/>
    <w:rsid w:val="00744BA1"/>
    <w:rsid w:val="007979F9"/>
    <w:rsid w:val="007F1AE4"/>
    <w:rsid w:val="008A5C69"/>
    <w:rsid w:val="00924044"/>
    <w:rsid w:val="00991B93"/>
    <w:rsid w:val="009F7952"/>
    <w:rsid w:val="00A20F1B"/>
    <w:rsid w:val="00A24BAB"/>
    <w:rsid w:val="00A82753"/>
    <w:rsid w:val="00AA7D9C"/>
    <w:rsid w:val="00B47459"/>
    <w:rsid w:val="00BB579E"/>
    <w:rsid w:val="00BF035A"/>
    <w:rsid w:val="00C45529"/>
    <w:rsid w:val="00C475FF"/>
    <w:rsid w:val="00C70C4A"/>
    <w:rsid w:val="00CC156B"/>
    <w:rsid w:val="00CF2FFF"/>
    <w:rsid w:val="00D474FE"/>
    <w:rsid w:val="00E46290"/>
    <w:rsid w:val="00E4660F"/>
    <w:rsid w:val="00E8080D"/>
    <w:rsid w:val="00F010A2"/>
    <w:rsid w:val="00F33FF7"/>
    <w:rsid w:val="00F56EC5"/>
    <w:rsid w:val="00F6326F"/>
    <w:rsid w:val="00F66285"/>
    <w:rsid w:val="00FB4422"/>
    <w:rsid w:val="090651A0"/>
    <w:rsid w:val="0D485B13"/>
    <w:rsid w:val="10427367"/>
    <w:rsid w:val="203D1B09"/>
    <w:rsid w:val="2AE36B79"/>
    <w:rsid w:val="2E5541D5"/>
    <w:rsid w:val="3C4A0935"/>
    <w:rsid w:val="452C77A8"/>
    <w:rsid w:val="50BC0881"/>
    <w:rsid w:val="72324A75"/>
    <w:rsid w:val="79BA5592"/>
    <w:rsid w:val="7A6D26C5"/>
    <w:rsid w:val="7C623C61"/>
    <w:rsid w:val="7F7E12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700" w:leftChars="700" w:right="700" w:rightChars="7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61"/>
    <w:basedOn w:val="6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12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0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201"/>
    <w:basedOn w:val="6"/>
    <w:qFormat/>
    <w:uiPriority w:val="0"/>
    <w:rPr>
      <w:rFonts w:hint="eastAsia" w:ascii="仿宋_GB2312" w:eastAsia="仿宋_GB2312" w:cs="仿宋_GB2312"/>
      <w:color w:val="FF0000"/>
      <w:sz w:val="24"/>
      <w:szCs w:val="24"/>
      <w:u w:val="none"/>
    </w:rPr>
  </w:style>
  <w:style w:type="character" w:customStyle="1" w:styleId="11">
    <w:name w:val="font131"/>
    <w:basedOn w:val="6"/>
    <w:qFormat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character" w:customStyle="1" w:styleId="12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970</Words>
  <Characters>1232</Characters>
  <Lines>12</Lines>
  <Paragraphs>3</Paragraphs>
  <TotalTime>1</TotalTime>
  <ScaleCrop>false</ScaleCrop>
  <LinksUpToDate>false</LinksUpToDate>
  <CharactersWithSpaces>1268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2024-08-27T09:02:00Z</dcterms:created>
  <dc:creator>NTKO</dc:creator>
  <cp:lastModifiedBy>李雯洁</cp:lastModifiedBy>
  <cp:lastPrinted>2024-10-29T03:31:00Z</cp:lastPrinted>
  <dcterms:modified xsi:type="dcterms:W3CDTF">2025-03-19T08:01:27Z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4D9FF0385FB14DA48DFFA68E9D1A9FD7_13</vt:lpwstr>
  </property>
</Properties>
</file>